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ED" w:rsidRPr="00E37ABB" w:rsidRDefault="00F255ED" w:rsidP="00F255ED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E37AB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Правила использования </w:t>
      </w:r>
      <w:proofErr w:type="spellStart"/>
      <w:r w:rsidRPr="00E37AB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световозвращающих</w:t>
      </w:r>
      <w:proofErr w:type="spellEnd"/>
      <w:r w:rsidRPr="00E37AB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элементов в одежде детей, виды </w:t>
      </w:r>
      <w:proofErr w:type="spellStart"/>
      <w:r w:rsidRPr="00E37AB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световозвращателей</w:t>
      </w:r>
      <w:proofErr w:type="spellEnd"/>
      <w:r w:rsidRPr="00E37ABB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 для пешеходов</w:t>
      </w:r>
    </w:p>
    <w:p w:rsidR="00E37ABB" w:rsidRPr="00E37ABB" w:rsidRDefault="00E37ABB" w:rsidP="00E37ABB">
      <w:pPr>
        <w:shd w:val="clear" w:color="auto" w:fill="F9FCFD"/>
        <w:spacing w:after="166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8B0202"/>
          <w:sz w:val="24"/>
          <w:szCs w:val="24"/>
          <w:lang w:eastAsia="ru-RU"/>
        </w:rPr>
      </w:pPr>
    </w:p>
    <w:p w:rsidR="00F255ED" w:rsidRPr="00F255ED" w:rsidRDefault="00F255ED" w:rsidP="00E37ABB">
      <w:pPr>
        <w:shd w:val="clear" w:color="auto" w:fill="F9FCFD"/>
        <w:spacing w:after="166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8B0202"/>
          <w:sz w:val="24"/>
          <w:szCs w:val="24"/>
          <w:lang w:eastAsia="ru-RU"/>
        </w:rPr>
      </w:pPr>
      <w:r w:rsidRPr="00F255ED">
        <w:rPr>
          <w:rFonts w:ascii="Times New Roman" w:eastAsia="Times New Roman" w:hAnsi="Times New Roman" w:cs="Times New Roman"/>
          <w:b/>
          <w:bCs/>
          <w:caps/>
          <w:color w:val="8B0202"/>
          <w:sz w:val="24"/>
          <w:szCs w:val="24"/>
          <w:lang w:eastAsia="ru-RU"/>
        </w:rPr>
        <w:t>О СВЕТОВОЗВРАЩАЮЩИХ ЭЛЕМЕНТАХ</w:t>
      </w:r>
    </w:p>
    <w:p w:rsidR="00F255ED" w:rsidRPr="00F255ED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Световозвращающие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элементы (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световозвращатели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ПРЕДНАЗНАЧЕНИЕ СВЕТОВОЗВРАЩАЮЩИХ ЭЛЕМЕНТОВ</w:t>
      </w:r>
    </w:p>
    <w:p w:rsidR="00F255ED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E37ABB" w:rsidRDefault="00E37ABB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</w:p>
    <w:p w:rsidR="00E37ABB" w:rsidRPr="00E37ABB" w:rsidRDefault="00E37ABB" w:rsidP="00E37ABB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>
        <w:rPr>
          <w:noProof/>
          <w:color w:val="1D1D1D"/>
        </w:rPr>
        <w:drawing>
          <wp:inline distT="0" distB="0" distL="0" distR="0">
            <wp:extent cx="4695924" cy="5990897"/>
            <wp:effectExtent l="19050" t="0" r="9426" b="0"/>
            <wp:docPr id="919" name="Рисунок 919" descr="C:\Users\Владимир\Desktop\бдд\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 descr="C:\Users\Владимир\Desktop\бдд\in_l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924" cy="5990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ABB" w:rsidRDefault="00E37ABB" w:rsidP="00E37ABB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lastRenderedPageBreak/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световозвращатель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</w:t>
      </w:r>
      <w:proofErr w:type="gramStart"/>
      <w:r>
        <w:rPr>
          <w:rFonts w:ascii="Arial" w:hAnsi="Arial" w:cs="Arial"/>
          <w:color w:val="1D1D1D"/>
          <w:sz w:val="23"/>
          <w:szCs w:val="23"/>
        </w:rPr>
        <w:t>становится</w:t>
      </w:r>
      <w:proofErr w:type="gramEnd"/>
      <w:r>
        <w:rPr>
          <w:rFonts w:ascii="Arial" w:hAnsi="Arial" w:cs="Arial"/>
          <w:color w:val="1D1D1D"/>
          <w:sz w:val="23"/>
          <w:szCs w:val="23"/>
        </w:rPr>
        <w:t xml:space="preserve"> виден, с применением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световозвращателей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увеличивается со 100 метров до 350 метров. Это даёт водителю 15-25 секунд для принятия решения.</w:t>
      </w:r>
    </w:p>
    <w:p w:rsidR="00E37ABB" w:rsidRDefault="00E37ABB" w:rsidP="00E37ABB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r>
        <w:rPr>
          <w:rFonts w:ascii="Arial" w:hAnsi="Arial" w:cs="Arial"/>
          <w:color w:val="1D1D1D"/>
          <w:sz w:val="23"/>
          <w:szCs w:val="23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E37ABB" w:rsidRDefault="00E37ABB" w:rsidP="00E37ABB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rFonts w:ascii="Arial" w:hAnsi="Arial" w:cs="Arial"/>
          <w:color w:val="1D1D1D"/>
          <w:sz w:val="23"/>
          <w:szCs w:val="23"/>
        </w:rPr>
      </w:pPr>
      <w:proofErr w:type="gramStart"/>
      <w:r>
        <w:rPr>
          <w:rFonts w:ascii="Arial" w:hAnsi="Arial" w:cs="Arial"/>
          <w:color w:val="1D1D1D"/>
          <w:sz w:val="23"/>
          <w:szCs w:val="23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>
        <w:rPr>
          <w:rFonts w:ascii="Arial" w:hAnsi="Arial" w:cs="Arial"/>
          <w:color w:val="1D1D1D"/>
          <w:sz w:val="23"/>
          <w:szCs w:val="23"/>
        </w:rPr>
        <w:t>световозвращающими</w:t>
      </w:r>
      <w:proofErr w:type="spellEnd"/>
      <w:r>
        <w:rPr>
          <w:rFonts w:ascii="Arial" w:hAnsi="Arial" w:cs="Arial"/>
          <w:color w:val="1D1D1D"/>
          <w:sz w:val="23"/>
          <w:szCs w:val="23"/>
        </w:rPr>
        <w:t xml:space="preserve"> элементами и обеспечивать видимость этих предметов водителями транспортных средств.</w:t>
      </w:r>
      <w:proofErr w:type="gramEnd"/>
    </w:p>
    <w:p w:rsidR="00E37ABB" w:rsidRPr="00E37ABB" w:rsidRDefault="00E37ABB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</w:p>
    <w:p w:rsidR="00F255ED" w:rsidRPr="00E37ABB" w:rsidRDefault="00F255ED" w:rsidP="00E37ABB">
      <w:pPr>
        <w:pStyle w:val="2"/>
        <w:shd w:val="clear" w:color="auto" w:fill="F9FCFD"/>
        <w:spacing w:before="0" w:beforeAutospacing="0" w:after="166" w:afterAutospacing="0"/>
        <w:jc w:val="center"/>
        <w:textAlignment w:val="baseline"/>
        <w:rPr>
          <w:caps/>
          <w:color w:val="8B0202"/>
          <w:sz w:val="24"/>
          <w:szCs w:val="24"/>
        </w:rPr>
      </w:pPr>
      <w:r w:rsidRPr="00E37ABB">
        <w:rPr>
          <w:caps/>
          <w:color w:val="8B0202"/>
          <w:sz w:val="24"/>
          <w:szCs w:val="24"/>
        </w:rPr>
        <w:t>ПРИМЕРЫ ИСПОЛЬЗОВАНИЯ СВЕТОВОЗВРАЩАЮЩИХ ЭЛЕМЕНТОВ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В настоящее время для обеспечения безопасности на дорогах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материалы используются при изготовлении элементов в самых различных формах, которые делятся на две группы: съемные и несъемные.</w:t>
      </w:r>
    </w:p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СЪЕМНЫЕ СВЕТОВОЗВРАЩАЮЩИЕ ЭЛЕМЕНТЫ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Съемные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элементы на </w:t>
      </w:r>
      <w:proofErr w:type="spellStart"/>
      <w:r w:rsidRPr="00E37ABB">
        <w:rPr>
          <w:color w:val="1D1D1D"/>
        </w:rPr>
        <w:t>ПВХ-основе</w:t>
      </w:r>
      <w:proofErr w:type="spellEnd"/>
      <w:r w:rsidRPr="00E37ABB">
        <w:rPr>
          <w:color w:val="1D1D1D"/>
        </w:rPr>
        <w:t xml:space="preserve"> – это изделия, прикрепляемые к одежде, головному убору, надеваемые на какую-либо часть тела или предметы: сумки, рюкзаки, детские коляски, велосипеды, ролики и другое.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Их можно легко крепить и снимать. Размещать </w:t>
      </w:r>
      <w:proofErr w:type="spellStart"/>
      <w:r w:rsidRPr="00E37ABB">
        <w:rPr>
          <w:color w:val="1D1D1D"/>
        </w:rPr>
        <w:t>световозвращатели</w:t>
      </w:r>
      <w:proofErr w:type="spellEnd"/>
      <w:r w:rsidRPr="00E37ABB">
        <w:rPr>
          <w:color w:val="1D1D1D"/>
        </w:rPr>
        <w:t xml:space="preserve"> следует таким образом, чтобы при переходе или движении по проезжей части на них попадал свет фар автомобилей и тем самым привлекал внимание водителей.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Одними из наиболее востребованных съемных </w:t>
      </w:r>
      <w:proofErr w:type="spellStart"/>
      <w:r w:rsidRPr="00E37ABB">
        <w:rPr>
          <w:color w:val="1D1D1D"/>
        </w:rPr>
        <w:t>световозвращающих</w:t>
      </w:r>
      <w:proofErr w:type="spellEnd"/>
      <w:r w:rsidRPr="00E37ABB">
        <w:rPr>
          <w:color w:val="1D1D1D"/>
        </w:rPr>
        <w:t xml:space="preserve"> изделий являются навесные брелоки, </w:t>
      </w:r>
      <w:proofErr w:type="spellStart"/>
      <w:r w:rsidRPr="00E37ABB">
        <w:rPr>
          <w:color w:val="1D1D1D"/>
        </w:rPr>
        <w:t>стикеры</w:t>
      </w:r>
      <w:proofErr w:type="spellEnd"/>
      <w:r w:rsidRPr="00E37ABB">
        <w:rPr>
          <w:color w:val="1D1D1D"/>
        </w:rPr>
        <w:t>, значки, браслеты, накладки на спицы колес велосипеда, жилеты.</w:t>
      </w:r>
    </w:p>
    <w:p w:rsidR="00F255ED" w:rsidRPr="00E37ABB" w:rsidRDefault="00F255ED" w:rsidP="00F255ED">
      <w:pPr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</w:pP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622118" cy="1219292"/>
            <wp:effectExtent l="19050" t="0" r="0" b="0"/>
            <wp:docPr id="5" name="Рисунок 5" descr="http://www.gibdd.ru/mens/peshekhodam/reflector/examples/images/d1.jpg">
              <a:hlinkClick xmlns:a="http://schemas.openxmlformats.org/drawingml/2006/main" r:id="rId6" tooltip="&quot;Брелок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gibdd.ru/mens/peshekhodam/reflector/examples/images/d1.jpg">
                      <a:hlinkClick r:id="rId6" tooltip="&quot;Брелок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829" cy="122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847281" cy="1228721"/>
            <wp:effectExtent l="19050" t="0" r="569" b="0"/>
            <wp:docPr id="6" name="Рисунок 6" descr="http://www.gibdd.ru/mens/peshekhodam/reflector/examples/images/d2.jpg">
              <a:hlinkClick xmlns:a="http://schemas.openxmlformats.org/drawingml/2006/main" r:id="rId8" tooltip="&quot;Брело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gibdd.ru/mens/peshekhodam/reflector/examples/images/d2.jpg">
                      <a:hlinkClick r:id="rId8" tooltip="&quot;Брело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693" cy="123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825410" cy="1216203"/>
            <wp:effectExtent l="19050" t="0" r="3390" b="0"/>
            <wp:docPr id="7" name="Рисунок 7" descr="http://www.gibdd.ru/mens/peshekhodam/reflector/examples/images/d3.jpg">
              <a:hlinkClick xmlns:a="http://schemas.openxmlformats.org/drawingml/2006/main" r:id="rId10" tooltip="&quot;Брелок на сумк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gibdd.ru/mens/peshekhodam/reflector/examples/images/d3.jpg">
                      <a:hlinkClick r:id="rId10" tooltip="&quot;Брелок на сумк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69" cy="121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639614" cy="1260650"/>
            <wp:effectExtent l="19050" t="0" r="0" b="0"/>
            <wp:docPr id="8" name="Рисунок 8" descr="http://www.gibdd.ru/mens/peshekhodam/reflector/examples/images/d4.jpg">
              <a:hlinkClick xmlns:a="http://schemas.openxmlformats.org/drawingml/2006/main" r:id="rId12" tooltip="&quot;Брелок на сумке в сумерка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gibdd.ru/mens/peshekhodam/reflector/examples/images/d4.jpg">
                      <a:hlinkClick r:id="rId12" tooltip="&quot;Брелок на сумке в сумерка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221" cy="127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985157" cy="1240356"/>
            <wp:effectExtent l="19050" t="0" r="0" b="0"/>
            <wp:docPr id="9" name="Рисунок 9" descr="http://www.gibdd.ru/mens/peshekhodam/reflector/examples/images/d5.jpg">
              <a:hlinkClick xmlns:a="http://schemas.openxmlformats.org/drawingml/2006/main" r:id="rId14" tooltip="&quot;Жилет и нарукавник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gibdd.ru/mens/peshekhodam/reflector/examples/images/d5.jpg">
                      <a:hlinkClick r:id="rId14" tooltip="&quot;Жилет и нарукавник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755" cy="123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721786" cy="1253059"/>
            <wp:effectExtent l="19050" t="0" r="0" b="0"/>
            <wp:docPr id="10" name="Рисунок 10" descr="http://www.gibdd.ru/mens/peshekhodam/reflector/examples/images/d6.jpg">
              <a:hlinkClick xmlns:a="http://schemas.openxmlformats.org/drawingml/2006/main" r:id="rId16" tooltip="&quot;Дети в жилета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gibdd.ru/mens/peshekhodam/reflector/examples/images/d6.jpg">
                      <a:hlinkClick r:id="rId16" tooltip="&quot;Дети в жилета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19" cy="1253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lastRenderedPageBreak/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641584" cy="1166648"/>
            <wp:effectExtent l="19050" t="0" r="0" b="0"/>
            <wp:docPr id="11" name="Рисунок 11" descr="http://www.gibdd.ru/mens/peshekhodam/reflector/examples/images/d7.jpg">
              <a:hlinkClick xmlns:a="http://schemas.openxmlformats.org/drawingml/2006/main" r:id="rId18" tooltip="&quot;Водитель в жилет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gibdd.ru/mens/peshekhodam/reflector/examples/images/d7.jpg">
                      <a:hlinkClick r:id="rId18" tooltip="&quot;Водитель в жилет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153" cy="116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849821" cy="1103586"/>
            <wp:effectExtent l="19050" t="0" r="0" b="0"/>
            <wp:docPr id="12" name="Рисунок 12" descr="http://www.gibdd.ru/mens/peshekhodam/reflector/examples/images/d8.jpg">
              <a:hlinkClick xmlns:a="http://schemas.openxmlformats.org/drawingml/2006/main" r:id="rId20" tooltip="&quot;Водитель в жилет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gibdd.ru/mens/peshekhodam/reflector/examples/images/d8.jpg">
                      <a:hlinkClick r:id="rId20" tooltip="&quot;Водитель в жилет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50" cy="110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420867" cy="1376811"/>
            <wp:effectExtent l="19050" t="0" r="7883" b="0"/>
            <wp:docPr id="13" name="Рисунок 13" descr="http://www.gibdd.ru/mens/peshekhodam/reflector/examples/images/d9.jpg">
              <a:hlinkClick xmlns:a="http://schemas.openxmlformats.org/drawingml/2006/main" r:id="rId22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gibdd.ru/mens/peshekhodam/reflector/examples/images/d9.jpg">
                      <a:hlinkClick r:id="rId22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90" cy="138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206829" cy="1603400"/>
            <wp:effectExtent l="19050" t="0" r="0" b="0"/>
            <wp:docPr id="14" name="Рисунок 14" descr="http://www.gibdd.ru/mens/peshekhodam/reflector/examples/images/d10.jpg">
              <a:hlinkClick xmlns:a="http://schemas.openxmlformats.org/drawingml/2006/main" r:id="rId24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gibdd.ru/mens/peshekhodam/reflector/examples/images/d10.jpg">
                      <a:hlinkClick r:id="rId24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793" cy="160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319552" cy="1606280"/>
            <wp:effectExtent l="19050" t="0" r="0" b="0"/>
            <wp:docPr id="15" name="Рисунок 15" descr="http://www.gibdd.ru/mens/peshekhodam/reflector/examples/images/d11.jpg">
              <a:hlinkClick xmlns:a="http://schemas.openxmlformats.org/drawingml/2006/main" r:id="rId26" tooltip="&quot;Жи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gibdd.ru/mens/peshekhodam/reflector/examples/images/d11.jpg">
                      <a:hlinkClick r:id="rId26" tooltip="&quot;Жи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311" cy="161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2429861" cy="1597572"/>
            <wp:effectExtent l="19050" t="0" r="8539" b="0"/>
            <wp:docPr id="16" name="Рисунок 16" descr="http://www.gibdd.ru/mens/peshekhodam/reflector/examples/images/d12.jpg">
              <a:hlinkClick xmlns:a="http://schemas.openxmlformats.org/drawingml/2006/main" r:id="rId28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gibdd.ru/mens/peshekhodam/reflector/examples/images/d12.jpg">
                      <a:hlinkClick r:id="rId28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133" cy="160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212985" cy="1818290"/>
            <wp:effectExtent l="19050" t="0" r="6215" b="0"/>
            <wp:docPr id="17" name="Рисунок 17" descr="http://www.gibdd.ru/mens/peshekhodam/reflector/examples/images/d13.jpg">
              <a:hlinkClick xmlns:a="http://schemas.openxmlformats.org/drawingml/2006/main" r:id="rId30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gibdd.ru/mens/peshekhodam/reflector/examples/images/d13.jpg">
                      <a:hlinkClick r:id="rId30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996" cy="181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893831" cy="1933903"/>
            <wp:effectExtent l="19050" t="0" r="0" b="0"/>
            <wp:docPr id="19" name="Рисунок 19" descr="http://www.gibdd.ru/mens/peshekhodam/reflector/examples/images/d15.jpg">
              <a:hlinkClick xmlns:a="http://schemas.openxmlformats.org/drawingml/2006/main" r:id="rId32" tooltip="&quot;Самофиксирующийся брасле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gibdd.ru/mens/peshekhodam/reflector/examples/images/d15.jpg">
                      <a:hlinkClick r:id="rId32" tooltip="&quot;Самофиксирующийся брасле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503" cy="194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color w:val="1D1D1D"/>
          <w:sz w:val="24"/>
          <w:szCs w:val="24"/>
          <w:shd w:val="clear" w:color="auto" w:fill="F9FCFD"/>
        </w:rPr>
        <w:t>    </w:t>
      </w:r>
      <w:r w:rsidRPr="00E37ABB">
        <w:rPr>
          <w:rFonts w:ascii="Times New Roman" w:hAnsi="Times New Roman" w:cs="Times New Roman"/>
          <w:noProof/>
          <w:color w:val="186EA8"/>
          <w:sz w:val="24"/>
          <w:szCs w:val="24"/>
          <w:bdr w:val="none" w:sz="0" w:space="0" w:color="auto" w:frame="1"/>
          <w:shd w:val="clear" w:color="auto" w:fill="F9FCFD"/>
          <w:lang w:eastAsia="ru-RU"/>
        </w:rPr>
        <w:drawing>
          <wp:inline distT="0" distB="0" distL="0" distR="0">
            <wp:extent cx="1680586" cy="1933903"/>
            <wp:effectExtent l="19050" t="0" r="0" b="0"/>
            <wp:docPr id="25" name="Рисунок 25" descr="http://www.gibdd.ru/mens/peshekhodam/reflector/examples/images/d21.jpg">
              <a:hlinkClick xmlns:a="http://schemas.openxmlformats.org/drawingml/2006/main" r:id="rId34" tooltip="&quot;Велосипед с накладками на велосипедные спиц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ibdd.ru/mens/peshekhodam/reflector/examples/images/d21.jpg">
                      <a:hlinkClick r:id="rId34" tooltip="&quot;Велосипед с накладками на велосипедные спиц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51" cy="193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НЕСЪЕМНЫЕ СВЕТОВОЗВРАЩАЮЩИЕ ЭЛЕМЕНТЫ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Несъемные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элементы на тканевой основе традиционно применяются в спецодежде сотрудников полиции, врачей скорой медицинской помощи, железн</w:t>
      </w:r>
      <w:proofErr w:type="gramStart"/>
      <w:r w:rsidRPr="00E37ABB">
        <w:rPr>
          <w:color w:val="1D1D1D"/>
        </w:rPr>
        <w:t>о-</w:t>
      </w:r>
      <w:proofErr w:type="gramEnd"/>
      <w:r w:rsidRPr="00E37ABB">
        <w:rPr>
          <w:color w:val="1D1D1D"/>
        </w:rPr>
        <w:t xml:space="preserve"> и автодорожных рабочих и многих других. Актуально их применение в детской и подростковой одежде, в спортивной и туристической одежде и обуви.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элементы на одежде должны обеспечивать видимость объекта с двух сторон, чтобы человек был виден водителям встречных направлений движения.</w:t>
      </w:r>
    </w:p>
    <w:p w:rsidR="00E37ABB" w:rsidRPr="00E37ABB" w:rsidRDefault="00F255ED" w:rsidP="00E37ABB">
      <w:pPr>
        <w:rPr>
          <w:rFonts w:ascii="Times New Roman" w:hAnsi="Times New Roman" w:cs="Times New Roman"/>
          <w:sz w:val="24"/>
          <w:szCs w:val="24"/>
        </w:rPr>
      </w:pPr>
      <w:r w:rsidRPr="00E37A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0558" cy="1975945"/>
            <wp:effectExtent l="19050" t="0" r="7792" b="0"/>
            <wp:docPr id="898" name="Рисунок 898" descr="http://www.gibdd.ru/mens/peshekhodam/reflector/examples/images/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 descr="http://www.gibdd.ru/mens/peshekhodam/reflector/examples/images/f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747" cy="197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7A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3793" cy="2102069"/>
            <wp:effectExtent l="19050" t="0" r="657" b="0"/>
            <wp:docPr id="901" name="Рисунок 901" descr="http://www.gibdd.ru/mens/peshekhodam/reflector/examples/images/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 descr="http://www.gibdd.ru/mens/peshekhodam/reflector/examples/images/f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200" cy="210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ABB">
        <w:rPr>
          <w:noProof/>
          <w:lang w:eastAsia="ru-RU"/>
        </w:rPr>
        <w:drawing>
          <wp:inline distT="0" distB="0" distL="0" distR="0">
            <wp:extent cx="1727922" cy="2192299"/>
            <wp:effectExtent l="19050" t="0" r="5628" b="0"/>
            <wp:docPr id="916" name="Рисунок 916" descr="http://www.gibdd.ru/mens/peshekhodam/reflector/examples/images/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http://www.gibdd.ru/mens/peshekhodam/reflector/examples/images/f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39" cy="221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ABB" w:rsidRDefault="00E37ABB" w:rsidP="00F255ED">
      <w:pPr>
        <w:shd w:val="clear" w:color="auto" w:fill="F9FCFD"/>
        <w:spacing w:after="166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8B0202"/>
          <w:sz w:val="24"/>
          <w:szCs w:val="24"/>
          <w:lang w:eastAsia="ru-RU"/>
        </w:rPr>
      </w:pPr>
    </w:p>
    <w:p w:rsidR="00F255ED" w:rsidRPr="00F255ED" w:rsidRDefault="00F255ED" w:rsidP="00E37ABB">
      <w:pPr>
        <w:shd w:val="clear" w:color="auto" w:fill="F9FCFD"/>
        <w:spacing w:after="166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8B0202"/>
          <w:sz w:val="24"/>
          <w:szCs w:val="24"/>
          <w:lang w:eastAsia="ru-RU"/>
        </w:rPr>
      </w:pPr>
      <w:r w:rsidRPr="00F255ED">
        <w:rPr>
          <w:rFonts w:ascii="Times New Roman" w:eastAsia="Times New Roman" w:hAnsi="Times New Roman" w:cs="Times New Roman"/>
          <w:b/>
          <w:bCs/>
          <w:caps/>
          <w:color w:val="8B0202"/>
          <w:sz w:val="24"/>
          <w:szCs w:val="24"/>
          <w:lang w:eastAsia="ru-RU"/>
        </w:rPr>
        <w:lastRenderedPageBreak/>
        <w:t>ПРИНЦИП РАБОТЫ СВЕТОВОЗВРАЩАЮЩИХ МАТЕРИАЛОВ</w:t>
      </w:r>
    </w:p>
    <w:p w:rsidR="00F255ED" w:rsidRPr="00F255ED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Световозвращающие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материалы (СВМ) используются для обозначения людей в тёмное время суток, возвращая свет, попавший на них, в направлении обратно к источнику света (эффект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световозврата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), становясь ярко-белыми в свете фар автомобиля или другого источника света и обеспечивая видимость объекта более чем за 150 м.</w:t>
      </w:r>
    </w:p>
    <w:p w:rsidR="00F255ED" w:rsidRPr="00F255ED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Световозвращатель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представляет собой технологически сложное соединение микроскопических линз, преломляющих световой луч в обратном направлении, отражающего алюминиевого слоя (зеркала) и прочной тканевой основы.</w:t>
      </w:r>
    </w:p>
    <w:p w:rsidR="00F255ED" w:rsidRPr="00F255ED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В настоящее время существует 2 </w:t>
      </w:r>
      <w:proofErr w:type="gram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основных</w:t>
      </w:r>
      <w:proofErr w:type="gram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типа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микролинз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- это мельчайшие стеклянные шарики и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микропризмы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83"/>
        <w:gridCol w:w="3350"/>
      </w:tblGrid>
      <w:tr w:rsidR="00F255ED" w:rsidRPr="00F255ED" w:rsidTr="00F255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55ED" w:rsidRPr="00F255ED" w:rsidRDefault="00F255ED" w:rsidP="00F2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6310" cy="882650"/>
                  <wp:effectExtent l="19050" t="0" r="0" b="0"/>
                  <wp:docPr id="904" name="Рисунок 904" descr="http://www.gibdd.ru/mens/peshekhodam/reflector/images/sp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 descr="http://www.gibdd.ru/mens/peshekhodam/reflector/images/sp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55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proofErr w:type="spellStart"/>
            <w:r w:rsidRPr="00F255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микрошариками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55ED" w:rsidRPr="00F255ED" w:rsidRDefault="00F255ED" w:rsidP="00F25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B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6310" cy="882650"/>
                  <wp:effectExtent l="19050" t="0" r="0" b="0"/>
                  <wp:docPr id="905" name="Рисунок 905" descr="http://www.gibdd.ru/mens/peshekhodam/reflector/images/pr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5" descr="http://www.gibdd.ru/mens/peshekhodam/reflector/images/pr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55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proofErr w:type="spellStart"/>
            <w:r w:rsidRPr="00F255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микропризмами</w:t>
            </w:r>
            <w:proofErr w:type="spellEnd"/>
          </w:p>
        </w:tc>
      </w:tr>
    </w:tbl>
    <w:p w:rsidR="00F255ED" w:rsidRPr="00F255ED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И в том и другом случае свет от источника падает на поверхность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микролинзы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преломляется, отражается от внутренней поверхности и возвращается к источнику. Этим достигается оптический эффект возвращения светового потока.</w:t>
      </w:r>
    </w:p>
    <w:p w:rsidR="00F255ED" w:rsidRPr="00F255ED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Микропризмы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используются на полимерных материалах, в плёнках – это в основном ПВХ, т.к. точный микрорельеф пирамид на ПВХ в отличие от других полимеров можно нанести без воздействия высокой температуры, по специальным, присущим ПВХ, технологиям. По сути ПВХ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микрокатафотные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плёнки работают аналогично пластмассовым автомобильным,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мот</w:t>
      </w:r>
      <w:proofErr w:type="gram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-</w:t>
      </w:r>
      <w:proofErr w:type="gram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велокатафотам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. Там также используются призмы, но не микр</w:t>
      </w:r>
      <w:proofErr w:type="gram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о-</w:t>
      </w:r>
      <w:proofErr w:type="gram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, а видимые глазом с его обратной стороны.</w:t>
      </w:r>
    </w:p>
    <w:p w:rsidR="00F255ED" w:rsidRPr="00E37ABB" w:rsidRDefault="00F255ED" w:rsidP="00F255ED">
      <w:pPr>
        <w:shd w:val="clear" w:color="auto" w:fill="F9FCFD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На тканные и любые другие материалы, в основном, наносятся стеклянные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микрошарики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с алюминиевым слоем отражателя (эффект зеркала). Шарики, преломляющие свет, и алюминиевый отражающий слой дают лучший световой эффект, но уступают </w:t>
      </w:r>
      <w:proofErr w:type="spellStart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ПВХ-катафотам</w:t>
      </w:r>
      <w:proofErr w:type="spellEnd"/>
      <w:r w:rsidRPr="00F255ED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в износостойкости и по некоторым другим эксплуатационным характеристикам, поскольку полимерная плёнка однородна и пирамиды находятся изнутри, а стеклянные шарики наносятся на материал полимерным клеем и находятся на наружной рабочей поверхности.</w:t>
      </w:r>
    </w:p>
    <w:p w:rsidR="00F255ED" w:rsidRPr="00E37ABB" w:rsidRDefault="00F255ED" w:rsidP="00F255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5ED" w:rsidRPr="00E37ABB" w:rsidRDefault="00F255ED" w:rsidP="00E37ABB">
      <w:pPr>
        <w:pStyle w:val="2"/>
        <w:shd w:val="clear" w:color="auto" w:fill="F9FCFD"/>
        <w:spacing w:before="0" w:beforeAutospacing="0" w:after="166" w:afterAutospacing="0"/>
        <w:jc w:val="center"/>
        <w:textAlignment w:val="baseline"/>
        <w:rPr>
          <w:caps/>
          <w:color w:val="8B0202"/>
          <w:sz w:val="24"/>
          <w:szCs w:val="24"/>
        </w:rPr>
      </w:pPr>
      <w:r w:rsidRPr="00E37ABB">
        <w:rPr>
          <w:caps/>
          <w:color w:val="8B0202"/>
          <w:sz w:val="24"/>
          <w:szCs w:val="24"/>
        </w:rPr>
        <w:t>РАЗЛИЧИЯ СВЕТОВОЗВРАЩАЮЩИХ МАТЕРИАЛОВ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Множество </w:t>
      </w:r>
      <w:proofErr w:type="spellStart"/>
      <w:r w:rsidRPr="00E37ABB">
        <w:rPr>
          <w:color w:val="1D1D1D"/>
        </w:rPr>
        <w:t>световозвращающих</w:t>
      </w:r>
      <w:proofErr w:type="spellEnd"/>
      <w:r w:rsidRPr="00E37ABB">
        <w:rPr>
          <w:color w:val="1D1D1D"/>
        </w:rPr>
        <w:t xml:space="preserve"> элементов изготавливается из материалов, имеющих не так много различий.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элементы отличаются по типу оптического элемента, коэффициенту </w:t>
      </w:r>
      <w:proofErr w:type="spellStart"/>
      <w:r w:rsidRPr="00E37ABB">
        <w:rPr>
          <w:color w:val="1D1D1D"/>
        </w:rPr>
        <w:t>световозвращения</w:t>
      </w:r>
      <w:proofErr w:type="spellEnd"/>
      <w:r w:rsidRPr="00E37ABB">
        <w:rPr>
          <w:color w:val="1D1D1D"/>
        </w:rPr>
        <w:t xml:space="preserve">, площади </w:t>
      </w:r>
      <w:proofErr w:type="spellStart"/>
      <w:r w:rsidRPr="00E37ABB">
        <w:rPr>
          <w:color w:val="1D1D1D"/>
        </w:rPr>
        <w:t>световозвращающей</w:t>
      </w:r>
      <w:proofErr w:type="spellEnd"/>
      <w:r w:rsidRPr="00E37ABB">
        <w:rPr>
          <w:color w:val="1D1D1D"/>
        </w:rPr>
        <w:t xml:space="preserve"> поверхности, а также химическим составляющим, имеющим значение при определении области применения </w:t>
      </w:r>
      <w:proofErr w:type="spellStart"/>
      <w:r w:rsidRPr="00E37ABB">
        <w:rPr>
          <w:color w:val="1D1D1D"/>
        </w:rPr>
        <w:t>световозвращателей</w:t>
      </w:r>
      <w:proofErr w:type="spellEnd"/>
      <w:r w:rsidRPr="00E37ABB">
        <w:rPr>
          <w:color w:val="1D1D1D"/>
        </w:rPr>
        <w:t>.</w:t>
      </w:r>
    </w:p>
    <w:p w:rsidR="00F255ED" w:rsidRPr="00E37ABB" w:rsidRDefault="00F255ED" w:rsidP="00F255ED">
      <w:pPr>
        <w:pStyle w:val="3"/>
        <w:shd w:val="clear" w:color="auto" w:fill="F9FCFD"/>
        <w:spacing w:before="166" w:after="83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ТИПЫ ОПТИЧЕСКИХ ЭЛЕМЕНТОВ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материалы различаются по типу основы материала (нейлон, хлопок-полиэстер, </w:t>
      </w:r>
      <w:proofErr w:type="spellStart"/>
      <w:r w:rsidRPr="00E37ABB">
        <w:rPr>
          <w:color w:val="1D1D1D"/>
        </w:rPr>
        <w:t>термоклеевая</w:t>
      </w:r>
      <w:proofErr w:type="spellEnd"/>
      <w:r w:rsidRPr="00E37ABB">
        <w:rPr>
          <w:color w:val="1D1D1D"/>
        </w:rPr>
        <w:t>, кожзаменители, полиэтилен, ПВХ, бумага и др.).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В основном используются тканевая основа (нейлон, хлопок-полиэстер) и </w:t>
      </w:r>
      <w:proofErr w:type="spellStart"/>
      <w:r w:rsidRPr="00E37ABB">
        <w:rPr>
          <w:color w:val="1D1D1D"/>
        </w:rPr>
        <w:t>ПВХ-основа</w:t>
      </w:r>
      <w:proofErr w:type="spellEnd"/>
      <w:r w:rsidRPr="00E37ABB">
        <w:rPr>
          <w:color w:val="1D1D1D"/>
        </w:rPr>
        <w:t xml:space="preserve"> (поливинилхлорид или полиэтилентерефталат).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83"/>
        <w:gridCol w:w="3350"/>
      </w:tblGrid>
      <w:tr w:rsidR="00F255ED" w:rsidRPr="00E37ABB" w:rsidTr="00F255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55ED" w:rsidRPr="00E37ABB" w:rsidRDefault="00F2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6310" cy="882650"/>
                  <wp:effectExtent l="19050" t="0" r="0" b="0"/>
                  <wp:docPr id="908" name="Рисунок 908" descr="http://www.gibdd.ru/mens/peshekhodam/reflector/images/sp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 descr="http://www.gibdd.ru/mens/peshekhodam/reflector/images/sp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7A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 </w:t>
            </w:r>
            <w:proofErr w:type="spellStart"/>
            <w:r w:rsidRPr="00E37A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микрошариками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55ED" w:rsidRPr="00E37ABB" w:rsidRDefault="00F2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56310" cy="882650"/>
                  <wp:effectExtent l="19050" t="0" r="0" b="0"/>
                  <wp:docPr id="909" name="Рисунок 909" descr="http://www.gibdd.ru/mens/peshekhodam/reflector/images/pri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9" descr="http://www.gibdd.ru/mens/peshekhodam/reflector/images/pri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7A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 </w:t>
            </w:r>
            <w:proofErr w:type="spellStart"/>
            <w:r w:rsidRPr="00E37AB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микропризмами</w:t>
            </w:r>
            <w:proofErr w:type="spellEnd"/>
          </w:p>
        </w:tc>
      </w:tr>
    </w:tbl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lastRenderedPageBreak/>
        <w:t>КОЭФФИЦИЕНТ СВЕТОВОЗВРАЩЕНИЯ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Коэффициент </w:t>
      </w:r>
      <w:proofErr w:type="spellStart"/>
      <w:r w:rsidRPr="00E37ABB">
        <w:rPr>
          <w:color w:val="1D1D1D"/>
        </w:rPr>
        <w:t>световозвращения</w:t>
      </w:r>
      <w:proofErr w:type="spellEnd"/>
      <w:r w:rsidRPr="00E37ABB">
        <w:rPr>
          <w:color w:val="1D1D1D"/>
        </w:rPr>
        <w:t xml:space="preserve"> (КС) измеряется в </w:t>
      </w:r>
      <w:proofErr w:type="spellStart"/>
      <w:r w:rsidRPr="00E37ABB">
        <w:rPr>
          <w:color w:val="1D1D1D"/>
        </w:rPr>
        <w:t>cd</w:t>
      </w:r>
      <w:proofErr w:type="spellEnd"/>
      <w:r w:rsidRPr="00E37ABB">
        <w:rPr>
          <w:color w:val="1D1D1D"/>
        </w:rPr>
        <w:t>/</w:t>
      </w:r>
      <w:proofErr w:type="spellStart"/>
      <w:r w:rsidRPr="00E37ABB">
        <w:rPr>
          <w:color w:val="1D1D1D"/>
        </w:rPr>
        <w:t>lx</w:t>
      </w:r>
      <w:proofErr w:type="spellEnd"/>
      <w:r w:rsidRPr="00E37ABB">
        <w:rPr>
          <w:color w:val="1D1D1D"/>
        </w:rPr>
        <w:t>*m</w:t>
      </w:r>
      <w:r w:rsidRPr="00E37ABB">
        <w:rPr>
          <w:color w:val="1D1D1D"/>
          <w:bdr w:val="none" w:sz="0" w:space="0" w:color="auto" w:frame="1"/>
          <w:vertAlign w:val="superscript"/>
        </w:rPr>
        <w:t>2</w:t>
      </w:r>
      <w:r w:rsidRPr="00E37ABB">
        <w:rPr>
          <w:color w:val="1D1D1D"/>
        </w:rPr>
        <w:t xml:space="preserve"> (кандела/люкс*метр квадратный). </w:t>
      </w:r>
      <w:proofErr w:type="spellStart"/>
      <w:r w:rsidRPr="00E37ABB">
        <w:rPr>
          <w:color w:val="1D1D1D"/>
        </w:rPr>
        <w:t>Световозвращающие</w:t>
      </w:r>
      <w:proofErr w:type="spellEnd"/>
      <w:r w:rsidRPr="00E37ABB">
        <w:rPr>
          <w:color w:val="1D1D1D"/>
        </w:rPr>
        <w:t xml:space="preserve"> материалы делятся на четыре группы по коэффициенту </w:t>
      </w:r>
      <w:proofErr w:type="spellStart"/>
      <w:r w:rsidRPr="00E37ABB">
        <w:rPr>
          <w:color w:val="1D1D1D"/>
        </w:rPr>
        <w:t>световозвращения</w:t>
      </w:r>
      <w:proofErr w:type="spellEnd"/>
      <w:r w:rsidRPr="00E37ABB">
        <w:rPr>
          <w:color w:val="1D1D1D"/>
        </w:rPr>
        <w:t>:</w:t>
      </w:r>
    </w:p>
    <w:p w:rsidR="00F255ED" w:rsidRPr="00E37ABB" w:rsidRDefault="00F255ED" w:rsidP="00F255ED">
      <w:pPr>
        <w:numPr>
          <w:ilvl w:val="0"/>
          <w:numId w:val="1"/>
        </w:numPr>
        <w:shd w:val="clear" w:color="auto" w:fill="F9FCFD"/>
        <w:spacing w:after="0" w:line="240" w:lineRule="auto"/>
        <w:ind w:left="0"/>
        <w:textAlignment w:val="baseline"/>
        <w:rPr>
          <w:rFonts w:ascii="Times New Roman" w:hAnsi="Times New Roman" w:cs="Times New Roman"/>
          <w:color w:val="1D1D1D"/>
          <w:sz w:val="24"/>
          <w:szCs w:val="24"/>
        </w:rPr>
      </w:pPr>
      <w:r w:rsidRPr="00E37ABB">
        <w:rPr>
          <w:rFonts w:ascii="Times New Roman" w:hAnsi="Times New Roman" w:cs="Times New Roman"/>
          <w:color w:val="1D1D1D"/>
          <w:sz w:val="24"/>
          <w:szCs w:val="24"/>
        </w:rPr>
        <w:t xml:space="preserve">Сверхвысокий КС &gt; 600 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cd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/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lx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*m</w:t>
      </w:r>
      <w:r w:rsidRPr="00E37ABB">
        <w:rPr>
          <w:rFonts w:ascii="Times New Roman" w:hAnsi="Times New Roman" w:cs="Times New Roman"/>
          <w:color w:val="1D1D1D"/>
          <w:sz w:val="24"/>
          <w:szCs w:val="24"/>
          <w:bdr w:val="none" w:sz="0" w:space="0" w:color="auto" w:frame="1"/>
          <w:vertAlign w:val="superscript"/>
        </w:rPr>
        <w:t>2</w:t>
      </w:r>
    </w:p>
    <w:p w:rsidR="00F255ED" w:rsidRPr="00E37ABB" w:rsidRDefault="00F255ED" w:rsidP="00F255ED">
      <w:pPr>
        <w:numPr>
          <w:ilvl w:val="0"/>
          <w:numId w:val="1"/>
        </w:numPr>
        <w:shd w:val="clear" w:color="auto" w:fill="F9FCFD"/>
        <w:spacing w:after="0" w:line="240" w:lineRule="auto"/>
        <w:ind w:left="0"/>
        <w:textAlignment w:val="baseline"/>
        <w:rPr>
          <w:rFonts w:ascii="Times New Roman" w:hAnsi="Times New Roman" w:cs="Times New Roman"/>
          <w:color w:val="1D1D1D"/>
          <w:sz w:val="24"/>
          <w:szCs w:val="24"/>
        </w:rPr>
      </w:pPr>
      <w:r w:rsidRPr="00E37ABB">
        <w:rPr>
          <w:rFonts w:ascii="Times New Roman" w:hAnsi="Times New Roman" w:cs="Times New Roman"/>
          <w:color w:val="1D1D1D"/>
          <w:sz w:val="24"/>
          <w:szCs w:val="24"/>
        </w:rPr>
        <w:t xml:space="preserve">Высокий КС 450-600 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cd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/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lx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*m</w:t>
      </w:r>
      <w:r w:rsidRPr="00E37ABB">
        <w:rPr>
          <w:rFonts w:ascii="Times New Roman" w:hAnsi="Times New Roman" w:cs="Times New Roman"/>
          <w:color w:val="1D1D1D"/>
          <w:sz w:val="24"/>
          <w:szCs w:val="24"/>
          <w:bdr w:val="none" w:sz="0" w:space="0" w:color="auto" w:frame="1"/>
          <w:vertAlign w:val="superscript"/>
        </w:rPr>
        <w:t>2</w:t>
      </w:r>
    </w:p>
    <w:p w:rsidR="00F255ED" w:rsidRPr="00E37ABB" w:rsidRDefault="00F255ED" w:rsidP="00F255ED">
      <w:pPr>
        <w:numPr>
          <w:ilvl w:val="0"/>
          <w:numId w:val="1"/>
        </w:numPr>
        <w:shd w:val="clear" w:color="auto" w:fill="F9FCFD"/>
        <w:spacing w:after="0" w:line="240" w:lineRule="auto"/>
        <w:ind w:left="0"/>
        <w:textAlignment w:val="baseline"/>
        <w:rPr>
          <w:rFonts w:ascii="Times New Roman" w:hAnsi="Times New Roman" w:cs="Times New Roman"/>
          <w:color w:val="1D1D1D"/>
          <w:sz w:val="24"/>
          <w:szCs w:val="24"/>
        </w:rPr>
      </w:pPr>
      <w:r w:rsidRPr="00E37ABB">
        <w:rPr>
          <w:rFonts w:ascii="Times New Roman" w:hAnsi="Times New Roman" w:cs="Times New Roman"/>
          <w:color w:val="1D1D1D"/>
          <w:sz w:val="24"/>
          <w:szCs w:val="24"/>
        </w:rPr>
        <w:t xml:space="preserve">Средний КС 330-450 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cd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/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lx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*m</w:t>
      </w:r>
      <w:r w:rsidRPr="00E37ABB">
        <w:rPr>
          <w:rFonts w:ascii="Times New Roman" w:hAnsi="Times New Roman" w:cs="Times New Roman"/>
          <w:color w:val="1D1D1D"/>
          <w:sz w:val="24"/>
          <w:szCs w:val="24"/>
          <w:bdr w:val="none" w:sz="0" w:space="0" w:color="auto" w:frame="1"/>
          <w:vertAlign w:val="superscript"/>
        </w:rPr>
        <w:t>2</w:t>
      </w:r>
    </w:p>
    <w:p w:rsidR="00F255ED" w:rsidRPr="00E37ABB" w:rsidRDefault="00F255ED" w:rsidP="00E37ABB">
      <w:pPr>
        <w:numPr>
          <w:ilvl w:val="0"/>
          <w:numId w:val="1"/>
        </w:numPr>
        <w:shd w:val="clear" w:color="auto" w:fill="F9FCFD"/>
        <w:spacing w:after="0" w:line="240" w:lineRule="auto"/>
        <w:ind w:left="0"/>
        <w:jc w:val="center"/>
        <w:textAlignment w:val="baseline"/>
        <w:rPr>
          <w:rFonts w:ascii="Times New Roman" w:hAnsi="Times New Roman" w:cs="Times New Roman"/>
          <w:color w:val="1D1D1D"/>
          <w:sz w:val="24"/>
          <w:szCs w:val="24"/>
        </w:rPr>
      </w:pPr>
      <w:r w:rsidRPr="00E37ABB">
        <w:rPr>
          <w:rFonts w:ascii="Times New Roman" w:hAnsi="Times New Roman" w:cs="Times New Roman"/>
          <w:color w:val="1D1D1D"/>
          <w:sz w:val="24"/>
          <w:szCs w:val="24"/>
        </w:rPr>
        <w:t xml:space="preserve">Низкий КС &lt; 330 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cd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/</w:t>
      </w:r>
      <w:proofErr w:type="spellStart"/>
      <w:r w:rsidRPr="00E37ABB">
        <w:rPr>
          <w:rFonts w:ascii="Times New Roman" w:hAnsi="Times New Roman" w:cs="Times New Roman"/>
          <w:color w:val="1D1D1D"/>
          <w:sz w:val="24"/>
          <w:szCs w:val="24"/>
        </w:rPr>
        <w:t>lx</w:t>
      </w:r>
      <w:proofErr w:type="spellEnd"/>
      <w:r w:rsidRPr="00E37ABB">
        <w:rPr>
          <w:rFonts w:ascii="Times New Roman" w:hAnsi="Times New Roman" w:cs="Times New Roman"/>
          <w:color w:val="1D1D1D"/>
          <w:sz w:val="24"/>
          <w:szCs w:val="24"/>
        </w:rPr>
        <w:t>*m</w:t>
      </w:r>
      <w:r w:rsidRPr="00E37ABB">
        <w:rPr>
          <w:rFonts w:ascii="Times New Roman" w:hAnsi="Times New Roman" w:cs="Times New Roman"/>
          <w:color w:val="1D1D1D"/>
          <w:sz w:val="24"/>
          <w:szCs w:val="24"/>
          <w:bdr w:val="none" w:sz="0" w:space="0" w:color="auto" w:frame="1"/>
          <w:vertAlign w:val="superscript"/>
        </w:rPr>
        <w:t>2</w:t>
      </w:r>
    </w:p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ПЛОЩАДЬ СВЕТОВОЗВРАЩАЮЩИХ ЭЛЕМЕНТОВ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Большое значение имеет не только коэффициент </w:t>
      </w:r>
      <w:proofErr w:type="spellStart"/>
      <w:r w:rsidRPr="00E37ABB">
        <w:rPr>
          <w:color w:val="1D1D1D"/>
        </w:rPr>
        <w:t>световозвращения</w:t>
      </w:r>
      <w:proofErr w:type="spellEnd"/>
      <w:r w:rsidRPr="00E37ABB">
        <w:rPr>
          <w:color w:val="1D1D1D"/>
        </w:rPr>
        <w:t xml:space="preserve">. Площадь </w:t>
      </w:r>
      <w:proofErr w:type="spellStart"/>
      <w:r w:rsidRPr="00E37ABB">
        <w:rPr>
          <w:color w:val="1D1D1D"/>
        </w:rPr>
        <w:t>световозвращателя</w:t>
      </w:r>
      <w:proofErr w:type="spellEnd"/>
      <w:r w:rsidRPr="00E37ABB">
        <w:rPr>
          <w:color w:val="1D1D1D"/>
        </w:rPr>
        <w:t xml:space="preserve"> также прямо влияет то, как хорошо он будет заметен.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То, как будет заметен </w:t>
      </w:r>
      <w:proofErr w:type="spellStart"/>
      <w:r w:rsidRPr="00E37ABB">
        <w:rPr>
          <w:color w:val="1D1D1D"/>
        </w:rPr>
        <w:t>световозвращатель</w:t>
      </w:r>
      <w:proofErr w:type="spellEnd"/>
      <w:r w:rsidRPr="00E37ABB">
        <w:rPr>
          <w:color w:val="1D1D1D"/>
        </w:rPr>
        <w:t xml:space="preserve">, прямо зависит от его площади, но также большое значение имеет и коэффициент </w:t>
      </w:r>
      <w:proofErr w:type="spellStart"/>
      <w:r w:rsidRPr="00E37ABB">
        <w:rPr>
          <w:color w:val="1D1D1D"/>
        </w:rPr>
        <w:t>световозвращения</w:t>
      </w:r>
      <w:proofErr w:type="spellEnd"/>
      <w:r w:rsidRPr="00E37ABB">
        <w:rPr>
          <w:color w:val="1D1D1D"/>
        </w:rPr>
        <w:t>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Исходя из международных стандартов, площадь </w:t>
      </w:r>
      <w:proofErr w:type="spellStart"/>
      <w:r w:rsidRPr="00E37ABB">
        <w:rPr>
          <w:color w:val="1D1D1D"/>
        </w:rPr>
        <w:t>световозвращающего</w:t>
      </w:r>
      <w:proofErr w:type="spellEnd"/>
      <w:r w:rsidRPr="00E37ABB">
        <w:rPr>
          <w:color w:val="1D1D1D"/>
        </w:rPr>
        <w:t xml:space="preserve"> элемента должна составлять от 15 см</w:t>
      </w:r>
      <w:proofErr w:type="gramStart"/>
      <w:r w:rsidRPr="00E37ABB">
        <w:rPr>
          <w:color w:val="1D1D1D"/>
          <w:bdr w:val="none" w:sz="0" w:space="0" w:color="auto" w:frame="1"/>
          <w:vertAlign w:val="superscript"/>
        </w:rPr>
        <w:t>2</w:t>
      </w:r>
      <w:proofErr w:type="gramEnd"/>
      <w:r w:rsidRPr="00E37ABB">
        <w:rPr>
          <w:color w:val="1D1D1D"/>
        </w:rPr>
        <w:t> до 50 cм</w:t>
      </w:r>
      <w:r w:rsidRPr="00E37ABB">
        <w:rPr>
          <w:color w:val="1D1D1D"/>
          <w:bdr w:val="none" w:sz="0" w:space="0" w:color="auto" w:frame="1"/>
          <w:vertAlign w:val="superscript"/>
        </w:rPr>
        <w:t>2</w:t>
      </w:r>
      <w:r w:rsidRPr="00E37ABB">
        <w:rPr>
          <w:color w:val="1D1D1D"/>
        </w:rPr>
        <w:t>, толщина не более 1 см.</w:t>
      </w:r>
    </w:p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ТИП ОСНОВЫ СВЕТОВОЗВРАЩАЮЩИХ ЭЛЕМЕНТОВ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В идеале </w:t>
      </w:r>
      <w:proofErr w:type="gramStart"/>
      <w:r w:rsidRPr="00E37ABB">
        <w:rPr>
          <w:color w:val="1D1D1D"/>
        </w:rPr>
        <w:t>съемные</w:t>
      </w:r>
      <w:proofErr w:type="gramEnd"/>
      <w:r w:rsidRPr="00E37ABB">
        <w:rPr>
          <w:color w:val="1D1D1D"/>
        </w:rPr>
        <w:t xml:space="preserve"> и несъемные </w:t>
      </w:r>
      <w:proofErr w:type="spellStart"/>
      <w:r w:rsidRPr="00E37ABB">
        <w:rPr>
          <w:color w:val="1D1D1D"/>
        </w:rPr>
        <w:t>светоовозвращатели</w:t>
      </w:r>
      <w:proofErr w:type="spellEnd"/>
      <w:r w:rsidRPr="00E37ABB">
        <w:rPr>
          <w:color w:val="1D1D1D"/>
        </w:rPr>
        <w:t xml:space="preserve"> надо сочетать. Полоски на одежде - это несъемные светоотражатели. Дополним их подвесками на </w:t>
      </w:r>
      <w:proofErr w:type="spellStart"/>
      <w:r w:rsidRPr="00E37ABB">
        <w:rPr>
          <w:color w:val="1D1D1D"/>
        </w:rPr>
        <w:t>шнурочках</w:t>
      </w:r>
      <w:proofErr w:type="spellEnd"/>
      <w:r w:rsidRPr="00E37ABB">
        <w:rPr>
          <w:color w:val="1D1D1D"/>
        </w:rPr>
        <w:t xml:space="preserve">, или наденем на запястье браслет на липучке или </w:t>
      </w:r>
      <w:proofErr w:type="spellStart"/>
      <w:r w:rsidRPr="00E37ABB">
        <w:rPr>
          <w:color w:val="1D1D1D"/>
        </w:rPr>
        <w:t>самозастегивающийся</w:t>
      </w:r>
      <w:proofErr w:type="spellEnd"/>
      <w:r w:rsidRPr="00E37ABB">
        <w:rPr>
          <w:color w:val="1D1D1D"/>
        </w:rPr>
        <w:t xml:space="preserve"> браслет на пружинке, приклеим наклейки.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По утверждению специалистов, самое подходящее место, где стоит разместить </w:t>
      </w:r>
      <w:proofErr w:type="spellStart"/>
      <w:r w:rsidRPr="00E37ABB">
        <w:rPr>
          <w:color w:val="1D1D1D"/>
        </w:rPr>
        <w:t>световозвращатель</w:t>
      </w:r>
      <w:proofErr w:type="spellEnd"/>
      <w:r w:rsidRPr="00E37ABB">
        <w:rPr>
          <w:color w:val="1D1D1D"/>
        </w:rPr>
        <w:t xml:space="preserve"> – это грудь и бёдра, но чаще люди предпочитают прикреплять </w:t>
      </w:r>
      <w:proofErr w:type="spellStart"/>
      <w:r w:rsidRPr="00E37ABB">
        <w:rPr>
          <w:color w:val="1D1D1D"/>
        </w:rPr>
        <w:t>световозвращатели</w:t>
      </w:r>
      <w:proofErr w:type="spellEnd"/>
      <w:r w:rsidRPr="00E37ABB">
        <w:rPr>
          <w:color w:val="1D1D1D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E37ABB">
        <w:rPr>
          <w:color w:val="1D1D1D"/>
        </w:rPr>
        <w:t>световозвращателя</w:t>
      </w:r>
      <w:proofErr w:type="spellEnd"/>
      <w:r w:rsidRPr="00E37ABB">
        <w:rPr>
          <w:color w:val="1D1D1D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1242"/>
      </w:tblGrid>
      <w:tr w:rsidR="00F255ED" w:rsidRPr="00E37ABB" w:rsidTr="00F255E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55ED" w:rsidRPr="00E37ABB" w:rsidRDefault="00F255ED" w:rsidP="00E3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79834" cy="1030014"/>
                  <wp:effectExtent l="0" t="0" r="0" b="0"/>
                  <wp:docPr id="910" name="Рисунок 910" descr="http://www.gibdd.ru/mens/peshekhodam/reflector/images/text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 descr="http://www.gibdd.ru/mens/peshekhodam/reflector/images/text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897" cy="1030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255ED" w:rsidRPr="00E37ABB" w:rsidRDefault="00F255ED" w:rsidP="00E37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8276" cy="1051191"/>
                  <wp:effectExtent l="0" t="0" r="0" b="0"/>
                  <wp:docPr id="911" name="Рисунок 911" descr="http://www.gibdd.ru/mens/peshekhodam/reflector/images/pv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1" descr="http://www.gibdd.ru/mens/peshekhodam/reflector/images/pv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264" cy="105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55ED" w:rsidRPr="00E37ABB" w:rsidRDefault="00F255ED" w:rsidP="00E37ABB">
      <w:pPr>
        <w:pStyle w:val="3"/>
        <w:shd w:val="clear" w:color="auto" w:fill="F9FCFD"/>
        <w:spacing w:before="166" w:after="83"/>
        <w:jc w:val="center"/>
        <w:textAlignment w:val="baseline"/>
        <w:rPr>
          <w:rFonts w:ascii="Times New Roman" w:hAnsi="Times New Roman" w:cs="Times New Roman"/>
          <w:caps/>
          <w:color w:val="083A5D"/>
          <w:sz w:val="24"/>
          <w:szCs w:val="24"/>
        </w:rPr>
      </w:pPr>
      <w:r w:rsidRPr="00E37ABB">
        <w:rPr>
          <w:rFonts w:ascii="Times New Roman" w:hAnsi="Times New Roman" w:cs="Times New Roman"/>
          <w:caps/>
          <w:color w:val="083A5D"/>
          <w:sz w:val="24"/>
          <w:szCs w:val="24"/>
        </w:rPr>
        <w:t>ОБЛАСТЬ ПРИМЕНЕНИЯ СВЕТОВОЗВРАЩАЮЩИХ МАТЕРИАЛОВ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b/>
          <w:bCs/>
          <w:color w:val="1D1D1D"/>
          <w:bdr w:val="none" w:sz="0" w:space="0" w:color="auto" w:frame="1"/>
        </w:rPr>
        <w:t xml:space="preserve">Не все </w:t>
      </w:r>
      <w:proofErr w:type="spellStart"/>
      <w:r w:rsidRPr="00E37ABB">
        <w:rPr>
          <w:b/>
          <w:bCs/>
          <w:color w:val="1D1D1D"/>
          <w:bdr w:val="none" w:sz="0" w:space="0" w:color="auto" w:frame="1"/>
        </w:rPr>
        <w:t>световозвращающие</w:t>
      </w:r>
      <w:proofErr w:type="spellEnd"/>
      <w:r w:rsidRPr="00E37ABB">
        <w:rPr>
          <w:b/>
          <w:bCs/>
          <w:color w:val="1D1D1D"/>
          <w:bdr w:val="none" w:sz="0" w:space="0" w:color="auto" w:frame="1"/>
        </w:rPr>
        <w:t xml:space="preserve"> материалы можно использовать для нанесения на элементы одежды.</w:t>
      </w:r>
      <w:r w:rsidRPr="00E37ABB">
        <w:rPr>
          <w:color w:val="1D1D1D"/>
        </w:rPr>
        <w:t xml:space="preserve"> Следует обратить внимание на наличие </w:t>
      </w:r>
      <w:proofErr w:type="spellStart"/>
      <w:r w:rsidRPr="00E37ABB">
        <w:rPr>
          <w:color w:val="1D1D1D"/>
        </w:rPr>
        <w:t>фталатов</w:t>
      </w:r>
      <w:proofErr w:type="spellEnd"/>
      <w:r w:rsidRPr="00E37ABB">
        <w:rPr>
          <w:color w:val="1D1D1D"/>
        </w:rPr>
        <w:t xml:space="preserve"> в материалах </w:t>
      </w:r>
      <w:proofErr w:type="spellStart"/>
      <w:r w:rsidRPr="00E37ABB">
        <w:rPr>
          <w:color w:val="1D1D1D"/>
        </w:rPr>
        <w:t>световозвращателей</w:t>
      </w:r>
      <w:proofErr w:type="spellEnd"/>
      <w:r w:rsidRPr="00E37ABB">
        <w:rPr>
          <w:color w:val="1D1D1D"/>
        </w:rPr>
        <w:t>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proofErr w:type="spellStart"/>
      <w:r w:rsidRPr="00E37ABB">
        <w:rPr>
          <w:b/>
          <w:bCs/>
          <w:color w:val="1D1D1D"/>
          <w:bdr w:val="none" w:sz="0" w:space="0" w:color="auto" w:frame="1"/>
        </w:rPr>
        <w:t>Фталаты</w:t>
      </w:r>
      <w:proofErr w:type="spellEnd"/>
      <w:r w:rsidRPr="00E37ABB">
        <w:rPr>
          <w:color w:val="1D1D1D"/>
        </w:rPr>
        <w:t> – это химические вещества, это соли и эфиры фталевой (ортофталевой) кислоты, которые благодаря своей низкой стоимости, очень широко используются в промышленности для придания мягкости, прочности, гибкости и эластичности, пластиковым изделиям.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Область применения </w:t>
      </w:r>
      <w:proofErr w:type="spellStart"/>
      <w:r w:rsidRPr="00E37ABB">
        <w:rPr>
          <w:color w:val="1D1D1D"/>
        </w:rPr>
        <w:t>фталатов</w:t>
      </w:r>
      <w:proofErr w:type="spellEnd"/>
      <w:r w:rsidRPr="00E37ABB">
        <w:rPr>
          <w:color w:val="1D1D1D"/>
        </w:rPr>
        <w:t xml:space="preserve"> весьма обширна, так как этот химический компонент входит в основной состав многих изделий из пластика. Это значит, что мы контактируем с </w:t>
      </w:r>
      <w:proofErr w:type="spellStart"/>
      <w:r w:rsidRPr="00E37ABB">
        <w:rPr>
          <w:color w:val="1D1D1D"/>
        </w:rPr>
        <w:t>фталатами</w:t>
      </w:r>
      <w:proofErr w:type="spellEnd"/>
      <w:r w:rsidRPr="00E37ABB">
        <w:rPr>
          <w:color w:val="1D1D1D"/>
        </w:rPr>
        <w:t xml:space="preserve"> ежедневно, а они вредны для человеческого организма.</w:t>
      </w:r>
    </w:p>
    <w:p w:rsidR="00F255ED" w:rsidRPr="00E37ABB" w:rsidRDefault="00F255ED" w:rsidP="00F255ED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Производители не всегда указывают на этикетках информацию о содержании </w:t>
      </w:r>
      <w:proofErr w:type="spellStart"/>
      <w:r w:rsidRPr="00E37ABB">
        <w:rPr>
          <w:color w:val="1D1D1D"/>
        </w:rPr>
        <w:t>фталатов</w:t>
      </w:r>
      <w:proofErr w:type="spellEnd"/>
      <w:r w:rsidRPr="00E37ABB">
        <w:rPr>
          <w:color w:val="1D1D1D"/>
        </w:rPr>
        <w:t xml:space="preserve"> в товарах, поэтому приобретайте изделия от проверенных производителей.</w:t>
      </w:r>
    </w:p>
    <w:p w:rsidR="00F255ED" w:rsidRDefault="00F255ED" w:rsidP="00E37ABB">
      <w:pPr>
        <w:pStyle w:val="a3"/>
        <w:shd w:val="clear" w:color="auto" w:fill="F9FCFD"/>
        <w:spacing w:before="0" w:beforeAutospacing="0" w:after="0" w:afterAutospacing="0"/>
        <w:ind w:firstLine="480"/>
        <w:jc w:val="both"/>
        <w:textAlignment w:val="baseline"/>
        <w:rPr>
          <w:color w:val="1D1D1D"/>
        </w:rPr>
      </w:pPr>
      <w:r w:rsidRPr="00E37ABB">
        <w:rPr>
          <w:color w:val="1D1D1D"/>
        </w:rPr>
        <w:t xml:space="preserve">В бытовых условиях </w:t>
      </w:r>
      <w:proofErr w:type="spellStart"/>
      <w:r w:rsidRPr="00E37ABB">
        <w:rPr>
          <w:color w:val="1D1D1D"/>
        </w:rPr>
        <w:t>фталаты</w:t>
      </w:r>
      <w:proofErr w:type="spellEnd"/>
      <w:r w:rsidRPr="00E37ABB">
        <w:rPr>
          <w:color w:val="1D1D1D"/>
        </w:rPr>
        <w:t xml:space="preserve"> можно определить по специфическому запаху. Любые изделия, имеющие резкий запах, могут сигнализировать о том, что в них содержатся небезопасные вещества. Старайтесь избегать по</w:t>
      </w:r>
      <w:r w:rsidR="00E37ABB">
        <w:rPr>
          <w:color w:val="1D1D1D"/>
        </w:rPr>
        <w:t>купки таких пластиковых изделий.</w:t>
      </w:r>
    </w:p>
    <w:p w:rsidR="00E37ABB" w:rsidRPr="00E37ABB" w:rsidRDefault="00E37ABB" w:rsidP="00E37ABB">
      <w:pPr>
        <w:pStyle w:val="a3"/>
        <w:shd w:val="clear" w:color="auto" w:fill="F9FCFD"/>
        <w:spacing w:before="0" w:beforeAutospacing="0" w:after="0" w:afterAutospacing="0"/>
        <w:ind w:firstLine="480"/>
        <w:jc w:val="right"/>
        <w:textAlignment w:val="baseline"/>
        <w:rPr>
          <w:color w:val="1D1D1D"/>
        </w:rPr>
      </w:pPr>
      <w:r w:rsidRPr="00E37ABB">
        <w:rPr>
          <w:color w:val="1D1D1D"/>
        </w:rPr>
        <w:t>http://www.gibdd.ru</w:t>
      </w:r>
    </w:p>
    <w:sectPr w:rsidR="00E37ABB" w:rsidRPr="00E37ABB" w:rsidSect="00D15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166E"/>
    <w:multiLevelType w:val="multilevel"/>
    <w:tmpl w:val="FE46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255ED"/>
    <w:rsid w:val="00D15DC5"/>
    <w:rsid w:val="00E37ABB"/>
    <w:rsid w:val="00F2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DC5"/>
  </w:style>
  <w:style w:type="paragraph" w:styleId="2">
    <w:name w:val="heading 2"/>
    <w:basedOn w:val="a"/>
    <w:link w:val="20"/>
    <w:uiPriority w:val="9"/>
    <w:qFormat/>
    <w:rsid w:val="00F255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5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25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255E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255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2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bdd.ru/mens/peshekhodam/reflector/examples/images/d2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gibdd.ru/mens/peshekhodam/reflector/examples/images/d7.jpg" TargetMode="External"/><Relationship Id="rId26" Type="http://schemas.openxmlformats.org/officeDocument/2006/relationships/hyperlink" Target="http://www.gibdd.ru/mens/peshekhodam/reflector/examples/images/d11.jpg" TargetMode="External"/><Relationship Id="rId39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://www.gibdd.ru/mens/peshekhodam/reflector/examples/images/d21.jpg" TargetMode="External"/><Relationship Id="rId42" Type="http://schemas.openxmlformats.org/officeDocument/2006/relationships/image" Target="media/image23.png"/><Relationship Id="rId7" Type="http://schemas.openxmlformats.org/officeDocument/2006/relationships/image" Target="media/image2.jpeg"/><Relationship Id="rId12" Type="http://schemas.openxmlformats.org/officeDocument/2006/relationships/hyperlink" Target="http://www.gibdd.ru/mens/peshekhodam/reflector/examples/images/d4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hyperlink" Target="http://www.gibdd.ru/mens/peshekhodam/reflector/examples/images/d6.jpg" TargetMode="External"/><Relationship Id="rId20" Type="http://schemas.openxmlformats.org/officeDocument/2006/relationships/hyperlink" Target="http://www.gibdd.ru/mens/peshekhodam/reflector/examples/images/d8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22.gif"/><Relationship Id="rId1" Type="http://schemas.openxmlformats.org/officeDocument/2006/relationships/numbering" Target="numbering.xml"/><Relationship Id="rId6" Type="http://schemas.openxmlformats.org/officeDocument/2006/relationships/hyperlink" Target="http://www.gibdd.ru/mens/peshekhodam/reflector/examples/images/d1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ibdd.ru/mens/peshekhodam/reflector/examples/images/d10.jpg" TargetMode="External"/><Relationship Id="rId32" Type="http://schemas.openxmlformats.org/officeDocument/2006/relationships/hyperlink" Target="http://www.gibdd.ru/mens/peshekhodam/reflector/examples/images/d15.jpg" TargetMode="External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ibdd.ru/mens/peshekhodam/reflector/examples/images/d12.jpg" TargetMode="External"/><Relationship Id="rId36" Type="http://schemas.openxmlformats.org/officeDocument/2006/relationships/image" Target="media/image17.jpeg"/><Relationship Id="rId10" Type="http://schemas.openxmlformats.org/officeDocument/2006/relationships/hyperlink" Target="http://www.gibdd.ru/mens/peshekhodam/reflector/examples/images/d3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gibdd.ru/mens/peshekhodam/reflector/examples/images/d5.jpg" TargetMode="External"/><Relationship Id="rId22" Type="http://schemas.openxmlformats.org/officeDocument/2006/relationships/hyperlink" Target="http://www.gibdd.ru/mens/peshekhodam/reflector/examples/images/d9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gibdd.ru/mens/peshekhodam/reflector/examples/images/d13.jpg" TargetMode="External"/><Relationship Id="rId35" Type="http://schemas.openxmlformats.org/officeDocument/2006/relationships/image" Target="media/image1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2017-10-30T15:03:00Z</dcterms:created>
  <dcterms:modified xsi:type="dcterms:W3CDTF">2017-10-30T15:24:00Z</dcterms:modified>
</cp:coreProperties>
</file>